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0F57" w14:textId="77777777" w:rsidR="00C75DD2" w:rsidRPr="00C75DD2" w:rsidRDefault="00C75DD2" w:rsidP="00C75DD2">
      <w:pPr>
        <w:pStyle w:val="Heading1"/>
        <w:jc w:val="center"/>
        <w:rPr>
          <w:rFonts w:ascii="Tahoma" w:hAnsi="Tahoma" w:cs="Tahoma"/>
        </w:rPr>
      </w:pPr>
      <w:r w:rsidRPr="00C75DD2">
        <w:rPr>
          <w:rFonts w:ascii="Tahoma" w:hAnsi="Tahoma" w:cs="Tahoma"/>
        </w:rPr>
        <w:t>Effective Explanations: How to make difficult material seem easier</w:t>
      </w:r>
    </w:p>
    <w:p w14:paraId="38CF51F3" w14:textId="77777777" w:rsidR="00C75DD2" w:rsidRDefault="00C75DD2" w:rsidP="00C75DD2"/>
    <w:p w14:paraId="0487ACD9" w14:textId="77777777" w:rsidR="00C75DD2" w:rsidRDefault="00C75DD2" w:rsidP="00C75DD2">
      <w:r>
        <w:t>One of the skills that a good teacher needs is the ability to explain complex, difficult material in simple ways. When you are presenting your research at an international conference, you are acting as a teacher and must also be able to give explanations suitable for your audience.</w:t>
      </w:r>
    </w:p>
    <w:p w14:paraId="63FEC4F1" w14:textId="77777777" w:rsidR="00C75DD2" w:rsidRDefault="00C75DD2" w:rsidP="00C75DD2"/>
    <w:p w14:paraId="3FD62FA9" w14:textId="5E48C4C5" w:rsidR="007D18A6" w:rsidRDefault="00C75DD2" w:rsidP="007D18A6">
      <w:r>
        <w:t xml:space="preserve">Since </w:t>
      </w:r>
      <w:r w:rsidR="00CD7213">
        <w:t xml:space="preserve">a significant proportion of </w:t>
      </w:r>
      <w:r>
        <w:t xml:space="preserve">your audience at a conference </w:t>
      </w:r>
      <w:r w:rsidR="00CD7213">
        <w:t xml:space="preserve">will be </w:t>
      </w:r>
      <w:r>
        <w:t>experts</w:t>
      </w:r>
      <w:r w:rsidR="00CD7213">
        <w:t xml:space="preserve"> in your area</w:t>
      </w:r>
      <w:r>
        <w:t>, you should not simplify things too much. Nevertheless, for complex material that is new to them it is vital that you guide them to un</w:t>
      </w:r>
      <w:r w:rsidR="007D18A6">
        <w:t>derstanding, and for those new to your research topic you do need to help them get basic concepts in your Introduction.</w:t>
      </w:r>
      <w:r w:rsidR="00767178">
        <w:t xml:space="preserve"> Here are three good ways</w:t>
      </w:r>
      <w:r w:rsidR="007D18A6">
        <w:t xml:space="preserve"> to help </w:t>
      </w:r>
      <w:r w:rsidR="00CD7213">
        <w:t>your audience</w:t>
      </w:r>
      <w:r w:rsidR="007D18A6">
        <w:t xml:space="preserve"> understand the “hard stuff”.</w:t>
      </w:r>
    </w:p>
    <w:p w14:paraId="16EF45A2" w14:textId="77777777" w:rsidR="00C75DD2" w:rsidRDefault="00C75DD2" w:rsidP="00C75DD2"/>
    <w:p w14:paraId="744F0628" w14:textId="77777777" w:rsidR="00C75DD2" w:rsidRPr="007D18A6" w:rsidRDefault="00C75DD2" w:rsidP="00C75DD2">
      <w:pPr>
        <w:rPr>
          <w:rFonts w:ascii="Tahoma" w:hAnsi="Tahoma" w:cs="Tahoma"/>
          <w:b/>
          <w:bCs/>
        </w:rPr>
      </w:pPr>
      <w:r w:rsidRPr="007D18A6">
        <w:rPr>
          <w:rFonts w:ascii="Tahoma" w:hAnsi="Tahoma" w:cs="Tahoma"/>
          <w:b/>
          <w:bCs/>
        </w:rPr>
        <w:t>1. Use intuitive functional definitions. What does it DO?</w:t>
      </w:r>
    </w:p>
    <w:p w14:paraId="16AC101D" w14:textId="7C9DD510" w:rsidR="00C75DD2" w:rsidRDefault="00C75DD2" w:rsidP="00C75DD2">
      <w:r>
        <w:tab/>
      </w:r>
      <w:r w:rsidR="00243C2E">
        <w:t>Example:</w:t>
      </w:r>
      <w:r>
        <w:t xml:space="preserve"> </w:t>
      </w:r>
      <w:r w:rsidR="00243C2E">
        <w:t>A</w:t>
      </w:r>
      <w:r>
        <w:t xml:space="preserve"> </w:t>
      </w:r>
      <w:r w:rsidRPr="00243C2E">
        <w:rPr>
          <w:i/>
          <w:iCs/>
        </w:rPr>
        <w:t>shoe</w:t>
      </w:r>
      <w:r>
        <w:t xml:space="preserve"> protects your foot as you walk</w:t>
      </w:r>
    </w:p>
    <w:p w14:paraId="61F2EB72" w14:textId="7C746414" w:rsidR="00C75DD2" w:rsidRDefault="00C75DD2" w:rsidP="00C75DD2">
      <w:r>
        <w:tab/>
      </w:r>
      <w:r w:rsidR="00243C2E">
        <w:t>Example: A</w:t>
      </w:r>
      <w:r>
        <w:t xml:space="preserve"> </w:t>
      </w:r>
      <w:r w:rsidRPr="00243C2E">
        <w:rPr>
          <w:i/>
          <w:iCs/>
        </w:rPr>
        <w:t>catalyst</w:t>
      </w:r>
      <w:r>
        <w:t xml:space="preserve"> helps a chemical reaction go faster</w:t>
      </w:r>
    </w:p>
    <w:p w14:paraId="3F3F561F" w14:textId="77777777" w:rsidR="00C75DD2" w:rsidRPr="00404CEC" w:rsidRDefault="00C75DD2" w:rsidP="00C75DD2">
      <w:r w:rsidRPr="00404CEC">
        <w:t>Comments:</w:t>
      </w:r>
    </w:p>
    <w:p w14:paraId="7BD7B7B4" w14:textId="77777777" w:rsidR="00C75DD2" w:rsidRPr="00404CEC" w:rsidRDefault="00C75DD2" w:rsidP="00C75DD2">
      <w:pPr>
        <w:numPr>
          <w:ilvl w:val="0"/>
          <w:numId w:val="3"/>
        </w:numPr>
      </w:pPr>
      <w:r w:rsidRPr="00404CEC">
        <w:rPr>
          <w:i/>
          <w:iCs/>
        </w:rPr>
        <w:t>Intuitive</w:t>
      </w:r>
      <w:r w:rsidRPr="00404CEC">
        <w:t xml:space="preserve"> means it seems expected and fits with what they already know.</w:t>
      </w:r>
    </w:p>
    <w:p w14:paraId="1DAF696E" w14:textId="77777777" w:rsidR="00C75DD2" w:rsidRPr="00404CEC" w:rsidRDefault="00C75DD2" w:rsidP="00C75DD2">
      <w:pPr>
        <w:numPr>
          <w:ilvl w:val="0"/>
          <w:numId w:val="3"/>
        </w:numPr>
      </w:pPr>
      <w:r w:rsidRPr="00404CEC">
        <w:rPr>
          <w:i/>
          <w:iCs/>
        </w:rPr>
        <w:t>Functional</w:t>
      </w:r>
      <w:r w:rsidRPr="00404CEC">
        <w:t xml:space="preserve"> means it does not focus on what it </w:t>
      </w:r>
      <w:r w:rsidRPr="00404CEC">
        <w:rPr>
          <w:i/>
          <w:iCs/>
        </w:rPr>
        <w:t>is</w:t>
      </w:r>
      <w:r w:rsidRPr="00404CEC">
        <w:t xml:space="preserve">, but rather on what it </w:t>
      </w:r>
      <w:r w:rsidRPr="00404CEC">
        <w:rPr>
          <w:i/>
          <w:iCs/>
        </w:rPr>
        <w:t>does</w:t>
      </w:r>
      <w:r w:rsidRPr="00404CEC">
        <w:t>.</w:t>
      </w:r>
    </w:p>
    <w:p w14:paraId="6D6C704F" w14:textId="77777777" w:rsidR="00C75DD2" w:rsidRPr="00404CEC" w:rsidRDefault="00C75DD2" w:rsidP="00C75DD2">
      <w:pPr>
        <w:numPr>
          <w:ilvl w:val="0"/>
          <w:numId w:val="3"/>
        </w:numPr>
      </w:pPr>
      <w:r w:rsidRPr="00404CEC">
        <w:t>Notice that a functional definition leaves out a lot of information (</w:t>
      </w:r>
      <w:proofErr w:type="gramStart"/>
      <w:r w:rsidRPr="00404CEC">
        <w:t>e.g.</w:t>
      </w:r>
      <w:proofErr w:type="gramEnd"/>
      <w:r w:rsidRPr="00404CEC">
        <w:t xml:space="preserve"> material, color, style, cost) but what is there captures the most important reason why shoes exist.</w:t>
      </w:r>
    </w:p>
    <w:p w14:paraId="741D6E3F" w14:textId="77777777" w:rsidR="00C75DD2" w:rsidRPr="00404CEC" w:rsidRDefault="00C75DD2" w:rsidP="00C75DD2">
      <w:pPr>
        <w:numPr>
          <w:ilvl w:val="0"/>
          <w:numId w:val="3"/>
        </w:numPr>
      </w:pPr>
      <w:r w:rsidRPr="00404CEC">
        <w:t xml:space="preserve">The key is for the audience to have an idea that is at least </w:t>
      </w:r>
      <w:r w:rsidRPr="00404CEC">
        <w:rPr>
          <w:i/>
          <w:iCs/>
        </w:rPr>
        <w:t>mostly</w:t>
      </w:r>
      <w:r w:rsidRPr="00404CEC">
        <w:t xml:space="preserve"> right. Later you can refine the idea, such as to point out that catalysts are not used up in the reaction.</w:t>
      </w:r>
    </w:p>
    <w:p w14:paraId="281B684A" w14:textId="77777777" w:rsidR="00C75DD2" w:rsidRDefault="00C75DD2" w:rsidP="00C75DD2"/>
    <w:p w14:paraId="3E7CAD09" w14:textId="77777777" w:rsidR="00C75DD2" w:rsidRPr="007D18A6" w:rsidRDefault="00767178" w:rsidP="00C75DD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2. Use analogies.</w:t>
      </w:r>
      <w:r w:rsidR="00C75DD2" w:rsidRPr="007D18A6">
        <w:rPr>
          <w:rFonts w:ascii="Tahoma" w:hAnsi="Tahoma" w:cs="Tahoma"/>
          <w:b/>
          <w:bCs/>
        </w:rPr>
        <w:t xml:space="preserve"> </w:t>
      </w:r>
    </w:p>
    <w:p w14:paraId="5006F70E" w14:textId="2DEBFEA9" w:rsidR="00C75DD2" w:rsidRDefault="00243C2E" w:rsidP="00EA191F">
      <w:pPr>
        <w:ind w:left="720" w:hanging="450"/>
      </w:pPr>
      <w:r>
        <w:t xml:space="preserve">Example: </w:t>
      </w:r>
      <w:r>
        <w:t>3-D sound wave propagation in air</w:t>
      </w:r>
      <w:r>
        <w:t xml:space="preserve"> is like w</w:t>
      </w:r>
      <w:r w:rsidR="006F378C">
        <w:t xml:space="preserve">ater waves </w:t>
      </w:r>
      <w:r>
        <w:t xml:space="preserve">traveling </w:t>
      </w:r>
      <w:r w:rsidR="006F378C">
        <w:t xml:space="preserve">from </w:t>
      </w:r>
      <w:r w:rsidR="00C75DD2">
        <w:t xml:space="preserve">rock dropped into pool </w:t>
      </w:r>
    </w:p>
    <w:p w14:paraId="3640A42F" w14:textId="10E7F561" w:rsidR="0086620D" w:rsidRDefault="00243C2E" w:rsidP="00EA191F">
      <w:pPr>
        <w:ind w:left="720" w:hanging="450"/>
      </w:pPr>
      <w:r>
        <w:t xml:space="preserve">Example: </w:t>
      </w:r>
      <w:r w:rsidR="0086620D">
        <w:t>“On-line computer algorithm” – you don’t know the future (questions). “Off-line computer algorithm” – you know the future, can guess all future questions.</w:t>
      </w:r>
    </w:p>
    <w:p w14:paraId="68E77F94" w14:textId="519560F3" w:rsidR="00C75DD2" w:rsidRDefault="00243C2E" w:rsidP="00EA191F">
      <w:pPr>
        <w:ind w:left="720" w:hanging="450"/>
      </w:pPr>
      <w:r>
        <w:t xml:space="preserve">Example: </w:t>
      </w:r>
      <w:r w:rsidR="0086620D">
        <w:t xml:space="preserve">Cool, dense air </w:t>
      </w:r>
      <w:r w:rsidR="00EA191F">
        <w:t>moving</w:t>
      </w:r>
      <w:r w:rsidR="0086620D">
        <w:t xml:space="preserve"> into a warm mass of air </w:t>
      </w:r>
      <w:r w:rsidR="006F378C">
        <w:t xml:space="preserve">at ground level </w:t>
      </w:r>
      <w:r w:rsidR="00EA191F">
        <w:t xml:space="preserve">acts </w:t>
      </w:r>
      <w:r w:rsidR="0086620D">
        <w:t xml:space="preserve">like a </w:t>
      </w:r>
      <w:r w:rsidR="006F378C">
        <w:t>chisel or paint scraper</w:t>
      </w:r>
      <w:r w:rsidR="00EA191F">
        <w:t xml:space="preserve"> forcing the warm air to rise</w:t>
      </w:r>
      <w:r>
        <w:t>.</w:t>
      </w:r>
    </w:p>
    <w:p w14:paraId="14164F2C" w14:textId="77777777" w:rsidR="00C75DD2" w:rsidRPr="00404CEC" w:rsidRDefault="00C75DD2" w:rsidP="00C75DD2">
      <w:pPr>
        <w:rPr>
          <w:szCs w:val="22"/>
        </w:rPr>
      </w:pPr>
      <w:r w:rsidRPr="00404CEC">
        <w:rPr>
          <w:szCs w:val="22"/>
        </w:rPr>
        <w:t>Comments:</w:t>
      </w:r>
    </w:p>
    <w:p w14:paraId="36E80EDF" w14:textId="5612DE60" w:rsidR="00C75DD2" w:rsidRPr="00404CEC" w:rsidRDefault="007D18A6" w:rsidP="00767178">
      <w:pPr>
        <w:numPr>
          <w:ilvl w:val="0"/>
          <w:numId w:val="4"/>
        </w:numPr>
        <w:rPr>
          <w:szCs w:val="22"/>
        </w:rPr>
      </w:pPr>
      <w:r w:rsidRPr="00404CEC">
        <w:rPr>
          <w:szCs w:val="22"/>
        </w:rPr>
        <w:t xml:space="preserve">There are significant differences between the reality and the analogy! Water waves </w:t>
      </w:r>
      <w:r w:rsidR="00767178" w:rsidRPr="00404CEC">
        <w:rPr>
          <w:szCs w:val="22"/>
        </w:rPr>
        <w:t>travel</w:t>
      </w:r>
      <w:r w:rsidRPr="00404CEC">
        <w:rPr>
          <w:szCs w:val="22"/>
        </w:rPr>
        <w:t xml:space="preserve"> 2-dimensional</w:t>
      </w:r>
      <w:r w:rsidR="00767178" w:rsidRPr="00404CEC">
        <w:rPr>
          <w:szCs w:val="22"/>
        </w:rPr>
        <w:t>ly</w:t>
      </w:r>
      <w:r w:rsidRPr="00404CEC">
        <w:rPr>
          <w:szCs w:val="22"/>
        </w:rPr>
        <w:t xml:space="preserve"> rather than 3-dimensional</w:t>
      </w:r>
      <w:r w:rsidR="00767178" w:rsidRPr="00404CEC">
        <w:rPr>
          <w:szCs w:val="22"/>
        </w:rPr>
        <w:t>ly</w:t>
      </w:r>
      <w:r w:rsidRPr="00404CEC">
        <w:rPr>
          <w:szCs w:val="22"/>
        </w:rPr>
        <w:t>, and they are waves of displacement rather than compression. Nevertheless, there are many vital similarities</w:t>
      </w:r>
      <w:r w:rsidR="00243C2E">
        <w:rPr>
          <w:szCs w:val="22"/>
        </w:rPr>
        <w:t xml:space="preserve"> that give good intuitive understanding</w:t>
      </w:r>
      <w:r w:rsidRPr="00404CEC">
        <w:rPr>
          <w:szCs w:val="22"/>
        </w:rPr>
        <w:t>.</w:t>
      </w:r>
    </w:p>
    <w:p w14:paraId="7F8F4A37" w14:textId="77777777" w:rsidR="007D18A6" w:rsidRPr="00404CEC" w:rsidRDefault="007D18A6" w:rsidP="007D18A6">
      <w:pPr>
        <w:numPr>
          <w:ilvl w:val="0"/>
          <w:numId w:val="4"/>
        </w:numPr>
        <w:rPr>
          <w:szCs w:val="22"/>
        </w:rPr>
      </w:pPr>
      <w:r w:rsidRPr="00404CEC">
        <w:rPr>
          <w:szCs w:val="22"/>
        </w:rPr>
        <w:t>The analogy should be to a simple, real-world situation that everybody knows.</w:t>
      </w:r>
    </w:p>
    <w:p w14:paraId="371F0B94" w14:textId="77777777" w:rsidR="00C75DD2" w:rsidRDefault="00C75DD2" w:rsidP="00C75DD2"/>
    <w:p w14:paraId="3D0C0050" w14:textId="77777777" w:rsidR="00C75DD2" w:rsidRPr="007D18A6" w:rsidRDefault="00C75DD2" w:rsidP="00767178">
      <w:pPr>
        <w:rPr>
          <w:rFonts w:ascii="Tahoma" w:hAnsi="Tahoma" w:cs="Tahoma"/>
          <w:b/>
          <w:bCs/>
        </w:rPr>
      </w:pPr>
      <w:r w:rsidRPr="007D18A6">
        <w:rPr>
          <w:rFonts w:ascii="Tahoma" w:hAnsi="Tahoma" w:cs="Tahoma"/>
          <w:b/>
          <w:bCs/>
        </w:rPr>
        <w:t>3. Use pictures/illustrations</w:t>
      </w:r>
      <w:r w:rsidR="008A0584">
        <w:rPr>
          <w:rFonts w:ascii="Tahoma" w:hAnsi="Tahoma" w:cs="Tahoma"/>
          <w:b/>
          <w:bCs/>
        </w:rPr>
        <w:t xml:space="preserve"> </w:t>
      </w:r>
      <w:r w:rsidR="008A0584" w:rsidRPr="008A0584">
        <w:rPr>
          <w:rFonts w:ascii="Tahoma" w:hAnsi="Tahoma" w:cs="Tahoma"/>
          <w:bCs/>
        </w:rPr>
        <w:t>(visual analog</w:t>
      </w:r>
      <w:r w:rsidR="008A0584">
        <w:rPr>
          <w:rFonts w:ascii="Tahoma" w:hAnsi="Tahoma" w:cs="Tahoma"/>
          <w:bCs/>
        </w:rPr>
        <w:t>ies</w:t>
      </w:r>
      <w:r w:rsidR="008A0584" w:rsidRPr="008A0584">
        <w:rPr>
          <w:rFonts w:ascii="Tahoma" w:hAnsi="Tahoma" w:cs="Tahoma"/>
          <w:bCs/>
        </w:rPr>
        <w:t>)</w:t>
      </w:r>
      <w:r w:rsidR="00767178">
        <w:rPr>
          <w:rFonts w:ascii="Tahoma" w:hAnsi="Tahoma" w:cs="Tahoma"/>
          <w:b/>
          <w:bCs/>
        </w:rPr>
        <w:t>.</w:t>
      </w:r>
      <w:r w:rsidRPr="007D18A6">
        <w:rPr>
          <w:rFonts w:ascii="Tahoma" w:hAnsi="Tahoma" w:cs="Tahoma"/>
          <w:b/>
          <w:bCs/>
        </w:rPr>
        <w:t xml:space="preserve"> </w:t>
      </w:r>
    </w:p>
    <w:p w14:paraId="1074C4D9" w14:textId="36641B37" w:rsidR="00C75DD2" w:rsidRDefault="00243C2E" w:rsidP="007D18A6">
      <w:pPr>
        <w:ind w:firstLine="720"/>
      </w:pPr>
      <w:r>
        <w:t xml:space="preserve">Example: </w:t>
      </w:r>
      <w:r w:rsidR="00C75DD2">
        <w:t>atom is like sun with planets in orbit around it.</w:t>
      </w:r>
    </w:p>
    <w:p w14:paraId="6AB06CC1" w14:textId="77777777" w:rsidR="007D18A6" w:rsidRDefault="000101F1" w:rsidP="00767178">
      <w:pPr>
        <w:jc w:val="center"/>
      </w:pPr>
      <w:r>
        <w:rPr>
          <w:noProof/>
          <w:lang w:val="en-CA" w:eastAsia="zh-CN"/>
        </w:rPr>
        <w:drawing>
          <wp:inline distT="0" distB="0" distL="0" distR="0" wp14:anchorId="1151CF95" wp14:editId="0A954CE4">
            <wp:extent cx="1335405" cy="1335405"/>
            <wp:effectExtent l="0" t="0" r="0" b="0"/>
            <wp:docPr id="1" name="Picture 1" descr="MCj04369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6917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8A6">
        <w:tab/>
      </w:r>
      <w:r w:rsidR="007D18A6">
        <w:tab/>
      </w:r>
      <w:r>
        <w:rPr>
          <w:noProof/>
          <w:lang w:val="en-CA" w:eastAsia="zh-CN"/>
        </w:rPr>
        <w:drawing>
          <wp:inline distT="0" distB="0" distL="0" distR="0" wp14:anchorId="1CB37E6D" wp14:editId="2D05ECE5">
            <wp:extent cx="1270635" cy="1254125"/>
            <wp:effectExtent l="0" t="0" r="0" b="0"/>
            <wp:docPr id="2" name="Picture 2" descr="MCj00831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8318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92399" w14:textId="7C22C6DA" w:rsidR="007D18A6" w:rsidRDefault="007D18A6" w:rsidP="00C75DD2">
      <w:pPr>
        <w:rPr>
          <w:szCs w:val="22"/>
        </w:rPr>
      </w:pPr>
      <w:r w:rsidRPr="00404CEC">
        <w:rPr>
          <w:szCs w:val="22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F2624A" w14:paraId="73ED9641" w14:textId="77777777" w:rsidTr="00F2624A">
        <w:tc>
          <w:tcPr>
            <w:tcW w:w="5228" w:type="dxa"/>
          </w:tcPr>
          <w:p w14:paraId="3EF11413" w14:textId="77777777" w:rsidR="00F2624A" w:rsidRPr="002D336A" w:rsidRDefault="00F2624A" w:rsidP="00F2624A">
            <w:pPr>
              <w:numPr>
                <w:ilvl w:val="0"/>
                <w:numId w:val="5"/>
              </w:numPr>
              <w:tabs>
                <w:tab w:val="clear" w:pos="720"/>
              </w:tabs>
              <w:ind w:left="540"/>
              <w:rPr>
                <w:szCs w:val="22"/>
              </w:rPr>
            </w:pPr>
            <w:r w:rsidRPr="002D336A">
              <w:rPr>
                <w:szCs w:val="22"/>
              </w:rPr>
              <w:t xml:space="preserve">The “solar system” idea and the Rutherford/Bohr models are still useful, even though a “cloud” idea is more accurate: </w:t>
            </w:r>
            <w:r w:rsidRPr="004E68A3">
              <w:rPr>
                <w:szCs w:val="22"/>
              </w:rPr>
              <w:sym w:font="Wingdings" w:char="F0E0"/>
            </w:r>
          </w:p>
          <w:p w14:paraId="2DE92752" w14:textId="65A2A2BB" w:rsidR="00F2624A" w:rsidRPr="00404CEC" w:rsidRDefault="00F2624A" w:rsidP="00F2624A">
            <w:pPr>
              <w:numPr>
                <w:ilvl w:val="0"/>
                <w:numId w:val="5"/>
              </w:numPr>
              <w:tabs>
                <w:tab w:val="clear" w:pos="720"/>
              </w:tabs>
              <w:ind w:left="540"/>
              <w:rPr>
                <w:szCs w:val="22"/>
              </w:rPr>
            </w:pPr>
            <w:r w:rsidRPr="00404CEC">
              <w:rPr>
                <w:szCs w:val="22"/>
              </w:rPr>
              <w:t xml:space="preserve">Be sure you know your audience so your illustrations are not </w:t>
            </w:r>
            <w:r w:rsidRPr="00404CEC">
              <w:rPr>
                <w:i/>
                <w:iCs/>
                <w:szCs w:val="22"/>
              </w:rPr>
              <w:t>too</w:t>
            </w:r>
            <w:r w:rsidRPr="00404CEC">
              <w:rPr>
                <w:szCs w:val="22"/>
              </w:rPr>
              <w:t xml:space="preserve"> simplistic.</w:t>
            </w:r>
          </w:p>
          <w:p w14:paraId="38459A1D" w14:textId="2B737943" w:rsidR="00F2624A" w:rsidRPr="00F2624A" w:rsidRDefault="00F2624A" w:rsidP="00F2624A">
            <w:pPr>
              <w:numPr>
                <w:ilvl w:val="0"/>
                <w:numId w:val="5"/>
              </w:numPr>
              <w:tabs>
                <w:tab w:val="clear" w:pos="720"/>
              </w:tabs>
              <w:ind w:left="540"/>
              <w:rPr>
                <w:szCs w:val="22"/>
              </w:rPr>
            </w:pPr>
            <w:r w:rsidRPr="002D336A">
              <w:rPr>
                <w:szCs w:val="22"/>
              </w:rPr>
              <w:t>As with the other techniques, the idea the user gets is useful but not totally accurate!</w:t>
            </w:r>
            <w:r>
              <w:rPr>
                <w:szCs w:val="22"/>
              </w:rPr>
              <w:t xml:space="preserve"> </w:t>
            </w:r>
            <w:r w:rsidRPr="002D336A">
              <w:rPr>
                <w:szCs w:val="22"/>
              </w:rPr>
              <w:t xml:space="preserve">Correcting the details can come later. </w:t>
            </w:r>
          </w:p>
        </w:tc>
        <w:tc>
          <w:tcPr>
            <w:tcW w:w="5229" w:type="dxa"/>
          </w:tcPr>
          <w:p w14:paraId="61361C6E" w14:textId="2B49CE28" w:rsidR="00F2624A" w:rsidRDefault="00F2624A" w:rsidP="00C75DD2">
            <w:pPr>
              <w:rPr>
                <w:szCs w:val="22"/>
              </w:rPr>
            </w:pPr>
            <w:r>
              <w:rPr>
                <w:noProof/>
                <w:lang w:val="en-CA" w:eastAsia="zh-CN"/>
              </w:rPr>
              <w:drawing>
                <wp:inline distT="0" distB="0" distL="0" distR="0" wp14:anchorId="5A1CB698" wp14:editId="50912B51">
                  <wp:extent cx="2874475" cy="1582084"/>
                  <wp:effectExtent l="0" t="0" r="2540" b="0"/>
                  <wp:docPr id="4" name="Picture 2" descr="e-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clo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576" cy="159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38DEF" w14:textId="77777777" w:rsidR="00F2624A" w:rsidRPr="00404CEC" w:rsidRDefault="00F2624A" w:rsidP="00C75DD2">
      <w:pPr>
        <w:rPr>
          <w:szCs w:val="22"/>
        </w:rPr>
      </w:pPr>
    </w:p>
    <w:sectPr w:rsidR="00F2624A" w:rsidRPr="00404CEC" w:rsidSect="000101F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649"/>
    <w:multiLevelType w:val="hybridMultilevel"/>
    <w:tmpl w:val="513E2F0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664"/>
    <w:multiLevelType w:val="multilevel"/>
    <w:tmpl w:val="513E2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32F5"/>
    <w:multiLevelType w:val="hybridMultilevel"/>
    <w:tmpl w:val="1CCE61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652B"/>
    <w:multiLevelType w:val="hybridMultilevel"/>
    <w:tmpl w:val="DEF8577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07BD"/>
    <w:multiLevelType w:val="hybridMultilevel"/>
    <w:tmpl w:val="26A02B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0279346">
    <w:abstractNumId w:val="0"/>
  </w:num>
  <w:num w:numId="2" w16cid:durableId="2133328178">
    <w:abstractNumId w:val="1"/>
  </w:num>
  <w:num w:numId="3" w16cid:durableId="894699970">
    <w:abstractNumId w:val="2"/>
  </w:num>
  <w:num w:numId="4" w16cid:durableId="1628664787">
    <w:abstractNumId w:val="3"/>
  </w:num>
  <w:num w:numId="5" w16cid:durableId="1607497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I3MLY1MLSwsTQxNLCyUdpeDU4uLM/DyQAtNaAAJY/JUsAAAA"/>
  </w:docVars>
  <w:rsids>
    <w:rsidRoot w:val="00C75DD2"/>
    <w:rsid w:val="000101F1"/>
    <w:rsid w:val="000B5380"/>
    <w:rsid w:val="000E43D7"/>
    <w:rsid w:val="00243C2E"/>
    <w:rsid w:val="002D336A"/>
    <w:rsid w:val="00404CEC"/>
    <w:rsid w:val="004C2911"/>
    <w:rsid w:val="004E68A3"/>
    <w:rsid w:val="006F378C"/>
    <w:rsid w:val="00767178"/>
    <w:rsid w:val="007D18A6"/>
    <w:rsid w:val="0086620D"/>
    <w:rsid w:val="008A0584"/>
    <w:rsid w:val="00C75DD2"/>
    <w:rsid w:val="00CD7213"/>
    <w:rsid w:val="00DA78F7"/>
    <w:rsid w:val="00EA191F"/>
    <w:rsid w:val="00ED2B52"/>
    <w:rsid w:val="00EE7F4D"/>
    <w:rsid w:val="00F220D1"/>
    <w:rsid w:val="00F2624A"/>
    <w:rsid w:val="00F61C50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1D712"/>
  <w15:chartTrackingRefBased/>
  <w15:docId w15:val="{29BC6068-CA3A-48F0-B9C7-06659E3F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24A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75DD2"/>
    <w:pPr>
      <w:keepNext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191F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F2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Explanations: How to make difficult material seem easier</vt:lpstr>
    </vt:vector>
  </TitlesOfParts>
  <Company>TOSHIBA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Explanations: How to make difficult material seem easier</dc:title>
  <dc:subject/>
  <dc:creator>Tonto Coordinator</dc:creator>
  <cp:keywords/>
  <dc:description/>
  <cp:lastModifiedBy>Murray Sherk</cp:lastModifiedBy>
  <cp:revision>6</cp:revision>
  <cp:lastPrinted>2014-01-16T04:28:00Z</cp:lastPrinted>
  <dcterms:created xsi:type="dcterms:W3CDTF">2017-02-11T12:40:00Z</dcterms:created>
  <dcterms:modified xsi:type="dcterms:W3CDTF">2022-09-13T07:59:00Z</dcterms:modified>
</cp:coreProperties>
</file>